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31" w:rsidRPr="001D00F8" w:rsidRDefault="00F912AB" w:rsidP="00A2453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7</w:t>
      </w:r>
    </w:p>
    <w:p w:rsidR="00A24531" w:rsidRPr="001D00F8" w:rsidRDefault="00A24531" w:rsidP="00A24531">
      <w:pPr>
        <w:rPr>
          <w:rFonts w:ascii="Arial Narrow" w:hAnsi="Arial Narrow" w:cs="Arial"/>
          <w:i/>
          <w:color w:val="000000"/>
        </w:rPr>
      </w:pPr>
    </w:p>
    <w:p w:rsidR="00A24531" w:rsidRPr="001D00F8" w:rsidRDefault="00A24531" w:rsidP="00A24531">
      <w:pPr>
        <w:rPr>
          <w:rFonts w:ascii="Arial Narrow" w:hAnsi="Arial Narrow" w:cs="Arial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7F2070">
        <w:rPr>
          <w:rFonts w:ascii="Arial Narrow" w:hAnsi="Arial Narrow"/>
          <w:b/>
          <w:sz w:val="22"/>
          <w:szCs w:val="22"/>
        </w:rPr>
        <w:t>Umowa powierzenia przetwarzania danych osobowych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zawarta w dniu .................... r. w .................... pomiędzy: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........................................, zwanym dalej "</w:t>
      </w:r>
      <w:r w:rsidRPr="007F2070">
        <w:rPr>
          <w:rFonts w:ascii="Arial Narrow" w:hAnsi="Arial Narrow"/>
          <w:b/>
          <w:bCs/>
          <w:sz w:val="22"/>
          <w:szCs w:val="22"/>
        </w:rPr>
        <w:t>Administratorem</w:t>
      </w:r>
      <w:r w:rsidRPr="007F2070">
        <w:rPr>
          <w:rFonts w:ascii="Arial Narrow" w:hAnsi="Arial Narrow"/>
          <w:sz w:val="22"/>
          <w:szCs w:val="22"/>
        </w:rPr>
        <w:t>",</w:t>
      </w:r>
    </w:p>
    <w:p w:rsidR="00D97E3B" w:rsidRPr="007F2070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a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........................................ , zwanym dalej "</w:t>
      </w:r>
      <w:r w:rsidRPr="007F2070">
        <w:rPr>
          <w:rFonts w:ascii="Arial Narrow" w:hAnsi="Arial Narrow"/>
          <w:b/>
          <w:bCs/>
          <w:sz w:val="22"/>
          <w:szCs w:val="22"/>
        </w:rPr>
        <w:t>Podmiot przetwarzający</w:t>
      </w:r>
      <w:r w:rsidRPr="007F2070">
        <w:rPr>
          <w:rFonts w:ascii="Arial Narrow" w:hAnsi="Arial Narrow"/>
          <w:sz w:val="22"/>
          <w:szCs w:val="22"/>
        </w:rPr>
        <w:t>",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zwanymi dalej łącznie "</w:t>
      </w:r>
      <w:r w:rsidRPr="007F2070">
        <w:rPr>
          <w:rFonts w:ascii="Arial Narrow" w:hAnsi="Arial Narrow"/>
          <w:b/>
          <w:bCs/>
          <w:sz w:val="22"/>
          <w:szCs w:val="22"/>
        </w:rPr>
        <w:t>Stronami</w:t>
      </w:r>
      <w:r w:rsidRPr="007F2070">
        <w:rPr>
          <w:rFonts w:ascii="Arial Narrow" w:hAnsi="Arial Narrow"/>
          <w:sz w:val="22"/>
          <w:szCs w:val="22"/>
        </w:rPr>
        <w:t>", a każdy z osobna "</w:t>
      </w:r>
      <w:r w:rsidRPr="007F2070">
        <w:rPr>
          <w:rFonts w:ascii="Arial Narrow" w:hAnsi="Arial Narrow"/>
          <w:b/>
          <w:bCs/>
          <w:sz w:val="22"/>
          <w:szCs w:val="22"/>
        </w:rPr>
        <w:t>Stroną</w:t>
      </w:r>
      <w:r w:rsidRPr="007F2070">
        <w:rPr>
          <w:rFonts w:ascii="Arial Narrow" w:hAnsi="Arial Narrow"/>
          <w:sz w:val="22"/>
          <w:szCs w:val="22"/>
        </w:rPr>
        <w:t>".</w:t>
      </w:r>
    </w:p>
    <w:p w:rsidR="00D97E3B" w:rsidRPr="00A511F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</w:p>
    <w:p w:rsidR="00D97E3B" w:rsidRPr="00A511F0" w:rsidRDefault="00D97E3B" w:rsidP="00D97E3B">
      <w:pPr>
        <w:pStyle w:val="da-p"/>
        <w:shd w:val="clear" w:color="auto" w:fill="FFFFFF"/>
        <w:spacing w:before="240" w:beforeAutospacing="0" w:after="24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Preambuła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A. Niniejsza Umowa Powierzenia Przetwarzania Danych (dalej "</w:t>
      </w:r>
      <w:r w:rsidRPr="007F2070">
        <w:rPr>
          <w:rFonts w:ascii="Arial Narrow" w:hAnsi="Arial Narrow"/>
          <w:b/>
          <w:bCs/>
          <w:sz w:val="22"/>
          <w:szCs w:val="22"/>
        </w:rPr>
        <w:t>Umowa Powierzenia</w:t>
      </w:r>
      <w:r w:rsidRPr="007F2070">
        <w:rPr>
          <w:rFonts w:ascii="Arial Narrow" w:hAnsi="Arial Narrow"/>
          <w:sz w:val="22"/>
          <w:szCs w:val="22"/>
        </w:rPr>
        <w:t>") zawarta jest w związku z Umową o świadczenie usług ………………. zawartą w dniu.................... (dalej "</w:t>
      </w:r>
      <w:r w:rsidRPr="007F2070">
        <w:rPr>
          <w:rFonts w:ascii="Arial Narrow" w:hAnsi="Arial Narrow"/>
          <w:b/>
          <w:bCs/>
          <w:sz w:val="22"/>
          <w:szCs w:val="22"/>
        </w:rPr>
        <w:t>Umowa</w:t>
      </w:r>
      <w:r w:rsidRPr="007F2070">
        <w:rPr>
          <w:rFonts w:ascii="Arial Narrow" w:hAnsi="Arial Narrow"/>
          <w:sz w:val="22"/>
          <w:szCs w:val="22"/>
        </w:rPr>
        <w:t>").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B. W celu wykonania Umowy niezbędne jest przetwarzanie danych osobowych podmiotów danych, o których mowa w niniejszej Umowie Powierzenia, przez Podmiot przetwarzający w imieniu i na rzecz Administratora. W związku z tym konieczne jest zawarcie niniejszej Umowy Powierzenia.</w:t>
      </w:r>
    </w:p>
    <w:p w:rsidR="00D97E3B" w:rsidRPr="00A511F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§ 1</w:t>
      </w:r>
    </w:p>
    <w:p w:rsidR="00D97E3B" w:rsidRPr="003E3F4C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Przedmiot Umowy Powierzenia oraz czas trwania, zakres, cel i charakter przetwarzania danych osobowych</w:t>
      </w:r>
    </w:p>
    <w:p w:rsidR="00D97E3B" w:rsidRPr="007F2070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Administrator oświadcza, że jest administratorem danych osobowych wskazanych w  ust. 6 poniżej.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2. Administrator powierza Podmiotowi przetwarzającemu na podstawie art. 28 ust. 3 rozporządzenia Parlamentu Europejskiego i Rady (UE) 2016/679 z dnia 27.04.2016 r. w sprawie ochrony osób fizycznych w związku z przetwarzaniem danych osobowych i w sprawie swobodnego przepływu takich danych oraz uchylenia dyrektywy 95/46/WE (</w:t>
      </w:r>
      <w:proofErr w:type="spellStart"/>
      <w:r w:rsidRPr="007F2070">
        <w:rPr>
          <w:rFonts w:ascii="Arial Narrow" w:hAnsi="Arial Narrow"/>
          <w:sz w:val="22"/>
          <w:szCs w:val="22"/>
        </w:rPr>
        <w:t>Dz.Urz</w:t>
      </w:r>
      <w:proofErr w:type="spellEnd"/>
      <w:r w:rsidRPr="007F2070">
        <w:rPr>
          <w:rFonts w:ascii="Arial Narrow" w:hAnsi="Arial Narrow"/>
          <w:sz w:val="22"/>
          <w:szCs w:val="22"/>
        </w:rPr>
        <w:t>. UE L 119, s. 1) - dalej RODO - do przetwarzania dane osobowe wskazane w ust. 6 poniżej, w celu wykonania Umowy. Podmiot przetwarzający może przetwarzać dane osobowe wyłącznie w zakresie i celu przewidzianym w Umowie Powierzenia.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3. Podmiot przetwarzający jest uprawniony do wykonywania następujących operacji na powierzonych mu przez Administratora danych osobowych: </w:t>
      </w:r>
      <w:r w:rsidRPr="007F2070">
        <w:rPr>
          <w:rFonts w:ascii="Arial Narrow" w:hAnsi="Arial Narrow"/>
          <w:i/>
          <w:iCs/>
          <w:sz w:val="22"/>
          <w:szCs w:val="22"/>
        </w:rPr>
        <w:t>zbieranie, utrwalanie, organizowanie, porządkowanie, przechowywanie, przeglądanie, wykorzystywanie, usuwanie lub niszczenie</w:t>
      </w:r>
      <w:r w:rsidRPr="007F2070">
        <w:rPr>
          <w:rFonts w:ascii="Arial Narrow" w:hAnsi="Arial Narrow"/>
          <w:sz w:val="22"/>
          <w:szCs w:val="22"/>
        </w:rPr>
        <w:t>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 xml:space="preserve">4. Podmiot przetwarzający będzie przetwarzał powierzone dane osobowe w sposób ciągły przez okres trwania Umowy. </w:t>
      </w:r>
      <w:proofErr w:type="spellStart"/>
      <w:r w:rsidRPr="007F2070">
        <w:rPr>
          <w:rFonts w:ascii="Arial Narrow" w:hAnsi="Arial Narrow"/>
          <w:sz w:val="22"/>
          <w:szCs w:val="22"/>
        </w:rPr>
        <w:t>Rozwiazanie</w:t>
      </w:r>
      <w:proofErr w:type="spellEnd"/>
      <w:r w:rsidRPr="007F2070">
        <w:rPr>
          <w:rFonts w:ascii="Arial Narrow" w:hAnsi="Arial Narrow"/>
          <w:sz w:val="22"/>
          <w:szCs w:val="22"/>
        </w:rPr>
        <w:t xml:space="preserve"> Umowy skutkuje rozwiązaniem Umowy powierzenia.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5. Dane osobowe będą przez Podmiot przetwarzający przetwarzane </w:t>
      </w:r>
      <w:r w:rsidRPr="007F2070">
        <w:rPr>
          <w:rFonts w:ascii="Arial Narrow" w:hAnsi="Arial Narrow"/>
          <w:i/>
          <w:iCs/>
          <w:sz w:val="22"/>
          <w:szCs w:val="22"/>
        </w:rPr>
        <w:t>w formie elektronicznej w systemach informatycznych oraz w formie papierowej</w:t>
      </w:r>
      <w:r w:rsidRPr="007F2070">
        <w:rPr>
          <w:rFonts w:ascii="Arial Narrow" w:hAnsi="Arial Narrow"/>
          <w:sz w:val="22"/>
          <w:szCs w:val="22"/>
        </w:rPr>
        <w:t>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6. Zakres powierzonych Podmiotowi przetwarzającemu do przetwarzania danych osobowych obejmuje poniższe rodzaje danych, w odniesieniu do następujących kategorii podmiotów danych:</w:t>
      </w:r>
    </w:p>
    <w:p w:rsidR="00D97E3B" w:rsidRPr="00C23032" w:rsidRDefault="00D97E3B" w:rsidP="00C23032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i/>
          <w:iCs/>
          <w:sz w:val="22"/>
          <w:szCs w:val="22"/>
        </w:rPr>
      </w:pPr>
      <w:r w:rsidRPr="007F2070">
        <w:rPr>
          <w:rFonts w:ascii="Arial Narrow" w:hAnsi="Arial Narrow"/>
          <w:i/>
          <w:iCs/>
          <w:sz w:val="22"/>
          <w:szCs w:val="22"/>
        </w:rPr>
        <w:t>Pracowników oraz studentów Administratora: imię i nazwisko</w:t>
      </w:r>
      <w:bookmarkStart w:id="0" w:name="_GoBack"/>
      <w:bookmarkEnd w:id="0"/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lastRenderedPageBreak/>
        <w:t>§ 2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Obowiązki Podmiotu przetwarzającego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 Narrow" w:hAnsi="Arial Narrow"/>
          <w:i/>
          <w:iCs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Podmiot przetwarzający oświadcza, że zapewnia wystarczające gwarancje wdrożenia odpowiednich środków technicznych i organizacyjnych, aby przetwarzanie spełniało wymogi określone w RODO i chroniło prawa osób, których dane dotyczą. Oznacza to m.in., iż podejmuje on wszelkie środki wymagane na mocy art. 32 RODO i w stosownym przypadku, uwzględniając stan wiedzy technicznej, koszt wdrażania oraz charakter, zakres, kontekst i cele przetwarzania oraz ryzyko naruszenia praw lub wolności podmiotów danych, zapewni: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426" w:hanging="411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a.</w:t>
      </w:r>
      <w:r w:rsidRPr="007F2070">
        <w:rPr>
          <w:rFonts w:ascii="Arial Narrow" w:hAnsi="Arial Narrow"/>
          <w:sz w:val="22"/>
          <w:szCs w:val="22"/>
        </w:rPr>
        <w:tab/>
      </w:r>
      <w:proofErr w:type="spellStart"/>
      <w:r w:rsidRPr="007F2070">
        <w:rPr>
          <w:rFonts w:ascii="Arial Narrow" w:hAnsi="Arial Narrow"/>
          <w:sz w:val="22"/>
          <w:szCs w:val="22"/>
        </w:rPr>
        <w:t>pseudonimizację</w:t>
      </w:r>
      <w:proofErr w:type="spellEnd"/>
      <w:r w:rsidRPr="007F2070">
        <w:rPr>
          <w:rFonts w:ascii="Arial Narrow" w:hAnsi="Arial Narrow"/>
          <w:sz w:val="22"/>
          <w:szCs w:val="22"/>
        </w:rPr>
        <w:t xml:space="preserve"> i szyfrowanie danych osobowych,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426" w:hanging="411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b.</w:t>
      </w:r>
      <w:r w:rsidRPr="007F2070">
        <w:rPr>
          <w:rFonts w:ascii="Arial Narrow" w:hAnsi="Arial Narrow"/>
          <w:sz w:val="22"/>
          <w:szCs w:val="22"/>
        </w:rPr>
        <w:tab/>
        <w:t>zdolność do ciągłego zapewnienia poufności, integralności, dostępności i odporności systemów i usług przetwarzania,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426" w:hanging="411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c.</w:t>
      </w:r>
      <w:r w:rsidRPr="007F2070">
        <w:rPr>
          <w:rFonts w:ascii="Arial Narrow" w:hAnsi="Arial Narrow"/>
          <w:sz w:val="22"/>
          <w:szCs w:val="22"/>
        </w:rPr>
        <w:tab/>
        <w:t>zdolność do szybkiego przywrócenia dostępności danych osobowych i dostępu do nich w razie incydentu fizycznego lub technicznego,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426" w:hanging="411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d.</w:t>
      </w:r>
      <w:r w:rsidRPr="007F2070">
        <w:rPr>
          <w:rFonts w:ascii="Arial Narrow" w:hAnsi="Arial Narrow"/>
          <w:sz w:val="22"/>
          <w:szCs w:val="22"/>
        </w:rPr>
        <w:tab/>
        <w:t>regularne testowanie, mierzenie i ocenianie skuteczności środków technicznych i organizacyjnych mających zapewnić bezpieczeństwo przetwarzania.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2. Podmiot przetwarzający jest zobowiązany do przetwarzania powierzonych danych osobowych wyłącznie zgodnie z udokumentowanymi poleceniami lub instrukcjami Administratora, przy czym za takie udokumentowane polecenia uważa się polecenia przekazywane drogą elektroniczną lub na piśmie.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3. Jeżeli Podmiot przetwarzający poweźmie wątpliwości co do zgodności z prawem wydanych przez Administratora poleceń lub instrukcji, natychmiast informuje Administratora o stwierdzonej wątpliwości (w sposób udokumentowany i z uzasadnieniem), pod rygorem utraty możliwości dochodzenia roszczeń przeciwko Administratorowi z tego tytułu.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4. Podmiot przetwarzający zobowiązuje się do ograniczenia dostępu do powierzonych danych wyłącznie do osób, których dostęp do danych jest niezbędny dla realizacji Umowy, i posiadających odpowiednie upoważnienie, ponad to zobowiązuje się on zapewnić, aby osoby te zobowiązały się do zachowania w tajemnicy danych oraz sposobów ich zabezpieczenia zarówno w trakcie, jak i po rozwiązaniu Umowy Powierzenia.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5. Podmiot przetwarzający zobowiązuje się do zachowania w tajemnicy powierzonych danych osobowych oraz sposobów ich zabezpieczenia, w tym także po rozwiązaniu Umowy Powierzenia.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6. Podmiot przetwarzający  zobowiązuje się do pomocy Administratorowi przy wykonywaniu przez Administratora obowiązków określonych w art. 32-36 RODO.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7. W miarę możliwości Podmiot przetwarzający zobowiązuje się pomagać Administratorowi, poprzez odpowiednie środki techniczne i organizacyjne oraz na podstawie odrębnych ustaleń, w wywiązywaniu się z obowiązku odpowiadania na żądania osób, których dane dotyczą, w zakresie wykonywania ich praw określonych w rozdziale III RODO. W przypadku bezpośredniego otrzymania żądania osoby, której dane dotyczą, zobowiązuje się on do natychmiastowego poinformowania o tym Administratora i niezwłocznego przekazania mu tych żądań oraz powstrzymania się od jakiejkolwiek formy odpowiedzi na takie żądanie, chyba że będzie działać zgodnie z wytycznymi przekazanymi przez Administratora.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8. Podmiot przetwarzający zawiadamia Administratora o każdym podejrzeniu naruszenia ochrony danych osobowych w ciągu 24 godzin od pierwszego zgłoszenia umożliwiając mu uczestnictwo w czynnościach wyjaśniających oraz informuje go o ustaleniach z chwilą ich dokonania, w szczególności o stwierdzeniu naruszenia. Powiadomienie o stwierdzeniu naruszenia powinno być przesłane wraz z wszelką niezbędną dokumentacją dotyczącą naruszenia, aby umożliwić Administratorowi spełnienie obowiązku powiadomienia organu nadzoru, o którym mowa w art. 33 ust. 3 RODO.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9. Podmiot przetwarzający zobowiązuje się powiadamiać Administratora niezwłocznie także o: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375" w:hanging="360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lastRenderedPageBreak/>
        <w:t>a.</w:t>
      </w:r>
      <w:r w:rsidRPr="007F2070">
        <w:rPr>
          <w:rFonts w:ascii="Arial Narrow" w:hAnsi="Arial Narrow"/>
          <w:sz w:val="22"/>
          <w:szCs w:val="22"/>
        </w:rPr>
        <w:tab/>
        <w:t>wszczęciu kontroli przez organ nadzorczy zajmujący się ochroną danych osobowych w związku z powierzeniem przetwarzania danych osobowych, a także o wszelkich decyzjach lub postanowieniach administracyjnych wydanych wobec niego w związku z powyższym;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375" w:hanging="360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b.</w:t>
      </w:r>
      <w:r w:rsidRPr="007F2070">
        <w:rPr>
          <w:rFonts w:ascii="Arial Narrow" w:hAnsi="Arial Narrow"/>
          <w:sz w:val="22"/>
          <w:szCs w:val="22"/>
        </w:rPr>
        <w:tab/>
        <w:t>wszczętych lub toczących się postępowaniach administracyjnych, sądowych lub przygotowawczych związanych z powierzeniem przetwarzania danych osobowych, a także o wszelkich decyzjach, postanowieniach lub orzeczeniach wydanych wobec niego w związku z powyższym;</w:t>
      </w:r>
    </w:p>
    <w:p w:rsidR="00D97E3B" w:rsidRPr="007F2070" w:rsidRDefault="00D97E3B" w:rsidP="00D97E3B">
      <w:pPr>
        <w:pStyle w:val="lista1"/>
        <w:shd w:val="clear" w:color="auto" w:fill="FFFFFF"/>
        <w:spacing w:before="0" w:beforeAutospacing="0" w:after="0" w:afterAutospacing="0" w:line="276" w:lineRule="auto"/>
        <w:ind w:left="375" w:hanging="360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c.</w:t>
      </w:r>
      <w:r w:rsidRPr="007F2070">
        <w:rPr>
          <w:rFonts w:ascii="Arial Narrow" w:hAnsi="Arial Narrow"/>
          <w:sz w:val="22"/>
          <w:szCs w:val="22"/>
        </w:rPr>
        <w:tab/>
        <w:t>wszelkich incydentach dotyczących powierzonych do przetwarzania danych osobowych przez Podmiot przetwarzający, w tym uzyskania przypadkowego lub nieupoważnionego dostępu do powierzonych danych osobowych, przypadkach zmiany, utraty, uszkodzenia lub zniszczenia powierzonych mu danych osobowych.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10. Podmiot przetwarzający zobowiązuje się do prowadzenia dokumentacji opisującej sposób przetwarzania powierzonych danych, w tym rejestru kategorii czynności przetwarzania danych osobowych, o ile taki obowiązek wynika z RODO. Podmiot przetwarzający udostępnia na żądanie Administratora prowadzony rejestr.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11. Podmiot przetwarzający nie jest uprawniony do dokonania dalszego powierzenia przetwarzania danych osobowych.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24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 xml:space="preserve">§ 3 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24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Uprawnienia kontrolne administratora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Podmiot przetwarzający udostępnia Administratorowi wszelkie informacje niezbędne do wykazania zgodności działania Administratora z przepisami RODO oraz umożliwia Administratorowi lub upoważnionemu przez Administratora audytorowi przeprowadzanie audytów lub inspekcji.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2. Podmiot przetwarzający jest zobowiązany do zastosowania się do zaleceń Administratora dotyczących zasad przetwarzania powierzonych danych osobowych oraz dotyczących poprawy zabezpieczenia danych osobowych, sporządzonych w wyniku kontroli przeprowadzonych przez Administratora lub upoważnionego przez niego audytora.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§ 4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Odpowiedzialność Podmiotu przetwarzającego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Podmiot przetwarzający odpowiada za szkody spowodowane swoim działaniem w związku z niedopełnieniem obowiązków, które RODO nakłada bezpośrednio na podmiot przetwarzający, lub gdy działał poza zgodnymi z prawem instrukcjami Administratora lub wbrew tym instrukcjom, a także za szkody spowodowane zastosowaniem lub niezastosowaniem właściwych środków bezpieczeństwa.</w:t>
      </w:r>
    </w:p>
    <w:p w:rsidR="00D97E3B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§ 5</w:t>
      </w:r>
    </w:p>
    <w:p w:rsidR="00D97E3B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Obowiązki po wygaśnięciu Umowy Powierzenia</w:t>
      </w:r>
    </w:p>
    <w:p w:rsidR="00D97E3B" w:rsidRPr="007F2070" w:rsidRDefault="00D97E3B" w:rsidP="00D97E3B">
      <w:pPr>
        <w:pStyle w:val="da-p"/>
        <w:shd w:val="clear" w:color="auto" w:fill="FFFFFF"/>
        <w:spacing w:before="240" w:beforeAutospacing="0" w:after="0" w:afterAutospacing="0" w:line="276" w:lineRule="auto"/>
        <w:jc w:val="center"/>
        <w:rPr>
          <w:rFonts w:ascii="Arial Narrow" w:hAnsi="Arial Narrow"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Po wygaśnięciu Umowy Powierzenia lub jej rozwiązaniu z jakiejkolwiek przyczyny Podmiot przetwarzający zwróci, zniszczy lub trwale usunie, zgodnie z decyzją Administratora przekazaną na piśmie lub e-mailowo, wszystkie kopie danych osobowych uczestników znajdujących się w jego posiadaniu. Usunięcie danych powinno zostać potwierdzone stosownym protokołem.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2. Postanowienia niniejszej Umowy powierzenia pozostaną w mocy po upływie okresu jej obowiązywania do czasu, aż Podmiot przetwarzający dokona zwrotu lub zniszczenia wszystkich danych osobowych zgodnie z ust. 1.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lastRenderedPageBreak/>
        <w:t>§ 6</w:t>
      </w:r>
    </w:p>
    <w:p w:rsidR="00D97E3B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/>
          <w:sz w:val="22"/>
          <w:szCs w:val="22"/>
        </w:rPr>
      </w:pP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Postanowienia końcowe</w:t>
      </w:r>
    </w:p>
    <w:p w:rsidR="00D97E3B" w:rsidRPr="007F2070" w:rsidRDefault="00D97E3B" w:rsidP="00D97E3B">
      <w:pPr>
        <w:pStyle w:val="Default"/>
        <w:spacing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1. </w:t>
      </w:r>
      <w:r w:rsidRPr="007F2070">
        <w:rPr>
          <w:rFonts w:ascii="Arial Narrow" w:eastAsia="Calibri" w:hAnsi="Arial Narrow"/>
          <w:sz w:val="22"/>
          <w:szCs w:val="22"/>
        </w:rPr>
        <w:t xml:space="preserve">Administrator jest uprawniony do rozwiązania Umowy bez wypowiedzenia, jeżeli zaistnieje chociażby jedna z poniższych przesłanek: </w:t>
      </w:r>
    </w:p>
    <w:p w:rsidR="00D97E3B" w:rsidRPr="007F2070" w:rsidRDefault="00D97E3B" w:rsidP="00D97E3B">
      <w:pPr>
        <w:pStyle w:val="Default"/>
        <w:spacing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a. Podmiot przetwarzający nie wypełnia obowiązków wskazanych w RODO lub innych powszechnie obowiązujących przepisach dotyczących ochrony danych osobowych </w:t>
      </w:r>
    </w:p>
    <w:p w:rsidR="00D97E3B" w:rsidRPr="007F2070" w:rsidRDefault="00D97E3B" w:rsidP="00D97E3B">
      <w:pPr>
        <w:pStyle w:val="Default"/>
        <w:spacing w:after="15"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b. Podmiot przetwarzający nie wypełnia obowiązków wskazanych w Umowie. </w:t>
      </w:r>
    </w:p>
    <w:p w:rsidR="00D97E3B" w:rsidRPr="007F2070" w:rsidRDefault="00D97E3B" w:rsidP="00D97E3B">
      <w:pPr>
        <w:pStyle w:val="Default"/>
        <w:spacing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c. Administratorowi nie zostanie zapewniona możliwość skorzystania z prawa kontroli. </w:t>
      </w:r>
    </w:p>
    <w:p w:rsidR="00D97E3B" w:rsidRPr="007F2070" w:rsidRDefault="00D97E3B" w:rsidP="00D97E3B">
      <w:pPr>
        <w:pStyle w:val="Default"/>
        <w:spacing w:after="15"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2. Zaistnienie podstaw do rozwiązania Umowy bez wypowiedzenia stanowi podstawę do rozwiązania Umowy głównej bez wypowiedzenia. </w:t>
      </w:r>
    </w:p>
    <w:p w:rsidR="00D97E3B" w:rsidRPr="007F2070" w:rsidRDefault="00D97E3B" w:rsidP="00D97E3B">
      <w:pPr>
        <w:pStyle w:val="Default"/>
        <w:spacing w:line="276" w:lineRule="auto"/>
        <w:rPr>
          <w:rFonts w:ascii="Arial Narrow" w:eastAsia="Calibri" w:hAnsi="Arial Narrow"/>
          <w:sz w:val="22"/>
          <w:szCs w:val="22"/>
        </w:rPr>
      </w:pPr>
      <w:r w:rsidRPr="007F2070">
        <w:rPr>
          <w:rFonts w:ascii="Arial Narrow" w:eastAsia="Calibri" w:hAnsi="Arial Narrow"/>
          <w:sz w:val="22"/>
          <w:szCs w:val="22"/>
        </w:rPr>
        <w:t xml:space="preserve">3. Każdej ze Stron przysługuje prawo rozwiązania Umowy w trybie natychmiastowym, w przypadku naruszenia postanowień Umowy przez drugą Stronę. 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4. Niniejsza Umowa Powierzenia wchodzi w życie z dniem jej zawarcia.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5. Wszelkie zmiany Umowy Powierzenia wymagają formy pisemnej pod rygorem nieważności.</w:t>
      </w:r>
    </w:p>
    <w:p w:rsidR="00D97E3B" w:rsidRPr="007F2070" w:rsidRDefault="00D97E3B" w:rsidP="00D97E3B">
      <w:pPr>
        <w:pStyle w:val="Default"/>
        <w:spacing w:after="13" w:line="276" w:lineRule="auto"/>
        <w:rPr>
          <w:rFonts w:ascii="Arial Narrow" w:eastAsia="Calibri" w:hAnsi="Arial Narrow" w:cs="Calibri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 xml:space="preserve">6. </w:t>
      </w:r>
      <w:r w:rsidRPr="007F2070">
        <w:rPr>
          <w:rFonts w:ascii="Arial Narrow" w:eastAsia="Calibri" w:hAnsi="Arial Narrow" w:cs="Calibri"/>
          <w:sz w:val="22"/>
          <w:szCs w:val="22"/>
        </w:rPr>
        <w:t xml:space="preserve">Sądem właściwym dla rozstrzygania sporów powstałych w związku z realizacją Umowy jest sąd właściwy dla siedziby Administratora. </w:t>
      </w:r>
    </w:p>
    <w:p w:rsidR="00D97E3B" w:rsidRPr="007F2070" w:rsidRDefault="00D97E3B" w:rsidP="00D97E3B">
      <w:pPr>
        <w:pStyle w:val="da-p"/>
        <w:shd w:val="clear" w:color="auto" w:fill="FFFFFF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sz w:val="22"/>
          <w:szCs w:val="22"/>
        </w:rPr>
        <w:t>7. Umowa Powierzenia została sporządzona w dwóch jednobrzmiących egzemplarzach, po jednym dla każdej ze Stron.</w:t>
      </w:r>
    </w:p>
    <w:p w:rsidR="00D97E3B" w:rsidRPr="007F2070" w:rsidRDefault="00D97E3B" w:rsidP="00D97E3B">
      <w:pPr>
        <w:pStyle w:val="da-p"/>
        <w:shd w:val="clear" w:color="auto" w:fill="FFFFFF"/>
        <w:tabs>
          <w:tab w:val="right" w:pos="8427"/>
        </w:tabs>
        <w:spacing w:before="240" w:beforeAutospacing="0" w:after="0" w:afterAutospacing="0" w:line="276" w:lineRule="auto"/>
        <w:ind w:left="567"/>
        <w:rPr>
          <w:rFonts w:ascii="Arial Narrow" w:hAnsi="Arial Narrow"/>
          <w:sz w:val="22"/>
          <w:szCs w:val="22"/>
        </w:rPr>
      </w:pPr>
      <w:r w:rsidRPr="007F2070">
        <w:rPr>
          <w:rFonts w:ascii="Arial Narrow" w:hAnsi="Arial Narrow"/>
          <w:b/>
          <w:bCs/>
          <w:sz w:val="22"/>
          <w:szCs w:val="22"/>
        </w:rPr>
        <w:t>Administrator</w:t>
      </w:r>
      <w:r w:rsidRPr="007F2070">
        <w:rPr>
          <w:rFonts w:ascii="Arial Narrow" w:hAnsi="Arial Narrow"/>
          <w:b/>
          <w:bCs/>
          <w:sz w:val="22"/>
          <w:szCs w:val="22"/>
        </w:rPr>
        <w:tab/>
        <w:t>Podmiot przetwarzający</w:t>
      </w:r>
    </w:p>
    <w:p w:rsidR="00AC5F1A" w:rsidRPr="00A24531" w:rsidRDefault="00D97E3B" w:rsidP="00D97E3B">
      <w:r w:rsidRPr="007F2070">
        <w:rPr>
          <w:rFonts w:ascii="Arial Narrow" w:hAnsi="Arial Narrow"/>
          <w:sz w:val="22"/>
          <w:szCs w:val="22"/>
        </w:rPr>
        <w:t>....................................</w:t>
      </w:r>
      <w:r w:rsidRPr="007F2070">
        <w:rPr>
          <w:rFonts w:ascii="Arial Narrow" w:hAnsi="Arial Narrow"/>
          <w:b/>
          <w:bCs/>
          <w:sz w:val="22"/>
          <w:szCs w:val="22"/>
        </w:rPr>
        <w:tab/>
      </w:r>
      <w:r w:rsidRPr="007F2070">
        <w:rPr>
          <w:rFonts w:ascii="Arial Narrow" w:hAnsi="Arial Narrow"/>
          <w:bCs/>
          <w:sz w:val="22"/>
          <w:szCs w:val="22"/>
        </w:rPr>
        <w:t>…..</w:t>
      </w:r>
      <w:r w:rsidRPr="007F2070">
        <w:rPr>
          <w:rFonts w:ascii="Arial Narrow" w:hAnsi="Arial Narrow"/>
          <w:sz w:val="22"/>
          <w:szCs w:val="22"/>
        </w:rPr>
        <w:t>...............................</w:t>
      </w:r>
    </w:p>
    <w:sectPr w:rsidR="00AC5F1A" w:rsidRPr="00A24531" w:rsidSect="00A8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1E" w:rsidRDefault="0010061E">
      <w:r>
        <w:separator/>
      </w:r>
    </w:p>
  </w:endnote>
  <w:endnote w:type="continuationSeparator" w:id="0">
    <w:p w:rsidR="0010061E" w:rsidRDefault="0010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1E" w:rsidRDefault="0010061E">
      <w:r>
        <w:separator/>
      </w:r>
    </w:p>
  </w:footnote>
  <w:footnote w:type="continuationSeparator" w:id="0">
    <w:p w:rsidR="0010061E" w:rsidRDefault="0010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BF4A74" w:rsidRDefault="00BF4A74" w:rsidP="00BF4A74">
          <w:pPr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 w:eastAsia="en-US"/>
            </w:rPr>
            <w:t>Projekt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 „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Nowa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jakość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kształcenia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–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podniesienie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kompetencji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studentów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pracowników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Politechniki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Świętokrzyskiej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>”</w:t>
          </w:r>
        </w:p>
        <w:p w:rsidR="00631FAE" w:rsidRPr="000A5BDF" w:rsidRDefault="00BF4A74" w:rsidP="00BF4A74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 w:eastAsia="en-US"/>
            </w:rPr>
            <w:t>nr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POWR.03.05.00-00-Z224/18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7"/>
  </w:num>
  <w:num w:numId="11">
    <w:abstractNumId w:val="19"/>
  </w:num>
  <w:num w:numId="12">
    <w:abstractNumId w:val="28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2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3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43E8C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061E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D2401"/>
    <w:rsid w:val="001E0AC5"/>
    <w:rsid w:val="001E54B1"/>
    <w:rsid w:val="001F1CBD"/>
    <w:rsid w:val="001F40F0"/>
    <w:rsid w:val="002119E9"/>
    <w:rsid w:val="002214A0"/>
    <w:rsid w:val="00223E38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368E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C284E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5F7B"/>
    <w:rsid w:val="0077678B"/>
    <w:rsid w:val="00776BA6"/>
    <w:rsid w:val="00781E8A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35F2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F1395"/>
    <w:rsid w:val="009F7769"/>
    <w:rsid w:val="00A22ECB"/>
    <w:rsid w:val="00A24531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63ADE"/>
    <w:rsid w:val="00B91E6B"/>
    <w:rsid w:val="00BB253D"/>
    <w:rsid w:val="00BC15A3"/>
    <w:rsid w:val="00BC1C4D"/>
    <w:rsid w:val="00BC216B"/>
    <w:rsid w:val="00BE6B37"/>
    <w:rsid w:val="00BF3BFA"/>
    <w:rsid w:val="00BF4A74"/>
    <w:rsid w:val="00BF563D"/>
    <w:rsid w:val="00BF69E3"/>
    <w:rsid w:val="00BF7243"/>
    <w:rsid w:val="00C02162"/>
    <w:rsid w:val="00C10DE3"/>
    <w:rsid w:val="00C201C1"/>
    <w:rsid w:val="00C23032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1103"/>
    <w:rsid w:val="00D531D4"/>
    <w:rsid w:val="00D575B3"/>
    <w:rsid w:val="00D61A18"/>
    <w:rsid w:val="00D63458"/>
    <w:rsid w:val="00D83CB7"/>
    <w:rsid w:val="00D870F8"/>
    <w:rsid w:val="00D94FCF"/>
    <w:rsid w:val="00D97E3B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0B8D"/>
    <w:rsid w:val="00EE4AB1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12AB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D90C6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ust">
    <w:name w:val="ust"/>
    <w:rsid w:val="00A24531"/>
    <w:pPr>
      <w:spacing w:before="60" w:after="60"/>
      <w:ind w:left="426" w:hanging="284"/>
      <w:jc w:val="both"/>
    </w:pPr>
    <w:rPr>
      <w:sz w:val="24"/>
      <w:szCs w:val="24"/>
      <w:lang w:val="pl-PL" w:eastAsia="pl-PL"/>
    </w:rPr>
  </w:style>
  <w:style w:type="paragraph" w:customStyle="1" w:styleId="pkt">
    <w:name w:val="pkt"/>
    <w:basedOn w:val="Normalny"/>
    <w:rsid w:val="00A24531"/>
    <w:pPr>
      <w:widowControl/>
      <w:spacing w:before="60" w:after="60"/>
      <w:ind w:left="851" w:hanging="295"/>
    </w:pPr>
  </w:style>
  <w:style w:type="paragraph" w:customStyle="1" w:styleId="da-p">
    <w:name w:val="da-p"/>
    <w:basedOn w:val="Normalny"/>
    <w:rsid w:val="00D97E3B"/>
    <w:pPr>
      <w:widowControl/>
      <w:spacing w:before="100" w:beforeAutospacing="1" w:after="100" w:afterAutospacing="1"/>
      <w:jc w:val="left"/>
    </w:pPr>
  </w:style>
  <w:style w:type="paragraph" w:customStyle="1" w:styleId="lista1">
    <w:name w:val="lista1"/>
    <w:basedOn w:val="Normalny"/>
    <w:rsid w:val="00D97E3B"/>
    <w:pPr>
      <w:widowControl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6100-DFF5-4807-8D1C-2D3D27CC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5</cp:revision>
  <cp:lastPrinted>2020-12-22T06:40:00Z</cp:lastPrinted>
  <dcterms:created xsi:type="dcterms:W3CDTF">2020-03-13T09:16:00Z</dcterms:created>
  <dcterms:modified xsi:type="dcterms:W3CDTF">2020-12-22T06:41:00Z</dcterms:modified>
</cp:coreProperties>
</file>