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8D483F" w:rsidRDefault="008D483F" w:rsidP="007C6F25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 xml:space="preserve">dostawę </w:t>
      </w:r>
      <w:r>
        <w:rPr>
          <w:rFonts w:ascii="Arial Narrow" w:hAnsi="Arial Narrow"/>
          <w:b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</w:rPr>
        <w:t xml:space="preserve"> dla Politechniki Świętokrzyskie</w:t>
      </w:r>
      <w:r>
        <w:rPr>
          <w:rFonts w:ascii="Arial Narrow" w:hAnsi="Arial Narrow"/>
          <w:b/>
        </w:rPr>
        <w:t xml:space="preserve">j </w:t>
      </w: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bookmarkStart w:id="0" w:name="_GoBack"/>
      <w:bookmarkEnd w:id="0"/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8D483F"/>
    <w:rsid w:val="00BA2819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C23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2020-08-31T13:28:00Z</dcterms:created>
  <dcterms:modified xsi:type="dcterms:W3CDTF">2020-08-31T13:28:00Z</dcterms:modified>
</cp:coreProperties>
</file>