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340FC2" w:rsidRPr="00315215" w:rsidRDefault="000A0C4F" w:rsidP="00315215">
      <w:pPr>
        <w:jc w:val="center"/>
        <w:rPr>
          <w:rFonts w:ascii="Arial Narrow" w:hAnsi="Arial Narrow" w:cs="Courier New"/>
          <w:b/>
          <w:bCs/>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w:t>
      </w:r>
      <w:r w:rsidR="00315215" w:rsidRPr="00315215">
        <w:rPr>
          <w:rFonts w:ascii="Arial Narrow" w:hAnsi="Arial Narrow" w:cs="Courier New"/>
          <w:b/>
          <w:bCs/>
          <w:sz w:val="22"/>
          <w:szCs w:val="22"/>
        </w:rPr>
        <w:t xml:space="preserve">systemu do monitoringu, rejestracji i analizy zdalnych sesji dostępu </w:t>
      </w:r>
      <w:r w:rsidR="00315215">
        <w:rPr>
          <w:rFonts w:ascii="Arial Narrow" w:hAnsi="Arial Narrow" w:cs="Courier New"/>
          <w:b/>
          <w:bCs/>
          <w:sz w:val="22"/>
          <w:szCs w:val="22"/>
        </w:rPr>
        <w:br/>
      </w:r>
      <w:r w:rsidR="00315215" w:rsidRPr="00315215">
        <w:rPr>
          <w:rFonts w:ascii="Arial Narrow" w:hAnsi="Arial Narrow" w:cs="Courier New"/>
          <w:b/>
          <w:bCs/>
          <w:sz w:val="22"/>
          <w:szCs w:val="22"/>
        </w:rPr>
        <w:t>do systemów informatycznych dla Politechniki Świętokrzyskiej</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lastRenderedPageBreak/>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15215" w:rsidRPr="00315215">
        <w:rPr>
          <w:rFonts w:ascii="Arial Narrow" w:hAnsi="Arial Narrow"/>
          <w:b/>
          <w:bCs/>
          <w:sz w:val="22"/>
          <w:szCs w:val="22"/>
        </w:rPr>
        <w:t>dostawę systemu do monitoringu, rejestracji i analizy zdalnych sesji dostępu do systemów informatycznych dla Politechniki Świętokrzyskiej</w:t>
      </w:r>
      <w:r w:rsidRPr="00315215">
        <w:rPr>
          <w:rFonts w:ascii="Arial Narrow" w:hAnsi="Arial Narrow"/>
          <w:b/>
          <w:bCs/>
          <w:sz w:val="22"/>
          <w:szCs w:val="22"/>
        </w:rPr>
        <w:t xml:space="preserve"> </w:t>
      </w:r>
      <w:r w:rsidRPr="00340FC2">
        <w:rPr>
          <w:rFonts w:ascii="Arial Narrow" w:hAnsi="Arial Narrow"/>
          <w:sz w:val="22"/>
          <w:szCs w:val="22"/>
        </w:rPr>
        <w:t>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Nazwa proponowanego</w:t>
      </w:r>
      <w:r w:rsidR="00315215">
        <w:rPr>
          <w:rFonts w:ascii="Arial Narrow" w:hAnsi="Arial Narrow"/>
          <w:b/>
        </w:rPr>
        <w:t xml:space="preserve"> systemu</w:t>
      </w:r>
      <w:r w:rsidRPr="00340FC2">
        <w:rPr>
          <w:rFonts w:ascii="Arial Narrow" w:hAnsi="Arial Narrow"/>
          <w:b/>
        </w:rPr>
        <w:t>:</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 xml:space="preserve">Oświadczamy, że w ramach przedmiotu zamówienia oferujemy </w:t>
      </w:r>
      <w:r w:rsidR="00315215">
        <w:rPr>
          <w:rFonts w:ascii="Arial Narrow" w:hAnsi="Arial Narrow"/>
          <w:b/>
        </w:rPr>
        <w:t xml:space="preserve">gwarancję oraz </w:t>
      </w:r>
      <w:r w:rsidRPr="00ED7C83">
        <w:rPr>
          <w:rFonts w:ascii="Arial Narrow" w:hAnsi="Arial Narrow"/>
          <w:b/>
        </w:rPr>
        <w:t xml:space="preserve">wsparcie </w:t>
      </w:r>
      <w:r w:rsidR="00315215">
        <w:rPr>
          <w:rFonts w:ascii="Arial Narrow" w:hAnsi="Arial Narrow"/>
          <w:b/>
        </w:rPr>
        <w:t xml:space="preserve">i pomoc </w:t>
      </w:r>
      <w:r w:rsidRPr="00ED7C83">
        <w:rPr>
          <w:rFonts w:ascii="Arial Narrow" w:hAnsi="Arial Narrow"/>
          <w:b/>
        </w:rPr>
        <w:t>t</w:t>
      </w:r>
      <w:r w:rsidR="00315215">
        <w:rPr>
          <w:rFonts w:ascii="Arial Narrow" w:hAnsi="Arial Narrow"/>
          <w:b/>
        </w:rPr>
        <w:t>echniczną</w:t>
      </w:r>
      <w:r w:rsidR="009D0FBD">
        <w:rPr>
          <w:rFonts w:ascii="Arial Narrow" w:hAnsi="Arial Narrow"/>
          <w:b/>
        </w:rPr>
        <w:t xml:space="preserve"> przez okres ……………………………….miesięcy</w:t>
      </w:r>
      <w:r w:rsidR="00315215">
        <w:rPr>
          <w:rFonts w:ascii="Arial Narrow" w:hAnsi="Arial Narrow"/>
          <w:b/>
        </w:rPr>
        <w:t xml:space="preserve"> od momentu instalacji </w:t>
      </w:r>
      <w:r w:rsidRPr="00ED7C83">
        <w:rPr>
          <w:rFonts w:ascii="Arial Narrow" w:hAnsi="Arial Narrow"/>
          <w:b/>
        </w:rPr>
        <w:t>oprogramowania</w:t>
      </w:r>
      <w:r w:rsidR="009D0FBD">
        <w:rPr>
          <w:rFonts w:ascii="Arial Narrow" w:hAnsi="Arial Narrow"/>
        </w:rPr>
        <w:t xml:space="preserve"> </w:t>
      </w:r>
      <w:r>
        <w:rPr>
          <w:rFonts w:ascii="Arial Narrow" w:hAnsi="Arial Narrow"/>
        </w:rPr>
        <w:t>(</w:t>
      </w:r>
      <w:r w:rsidRPr="00ED7C83">
        <w:rPr>
          <w:rFonts w:ascii="Arial Narrow" w:hAnsi="Arial Narrow"/>
          <w:sz w:val="20"/>
          <w:szCs w:val="20"/>
        </w:rPr>
        <w:t>w przypadku braku uzupełnienia ilości, Za</w:t>
      </w:r>
      <w:r w:rsidR="000C5CEB">
        <w:rPr>
          <w:rFonts w:ascii="Arial Narrow" w:hAnsi="Arial Narrow"/>
          <w:sz w:val="20"/>
          <w:szCs w:val="20"/>
        </w:rPr>
        <w:t>mawiający uzna, iż Wykonawca</w:t>
      </w:r>
      <w:r w:rsidRPr="00ED7C83">
        <w:rPr>
          <w:rFonts w:ascii="Arial Narrow" w:hAnsi="Arial Narrow"/>
          <w:sz w:val="20"/>
          <w:szCs w:val="20"/>
        </w:rPr>
        <w:t xml:space="preserve"> oferuje</w:t>
      </w:r>
      <w:r w:rsidR="000C5CEB">
        <w:rPr>
          <w:rFonts w:ascii="Arial Narrow" w:hAnsi="Arial Narrow"/>
          <w:sz w:val="20"/>
          <w:szCs w:val="20"/>
        </w:rPr>
        <w:t xml:space="preserve"> minimalny okres</w:t>
      </w:r>
      <w:r w:rsidRPr="00ED7C83">
        <w:rPr>
          <w:rFonts w:ascii="Arial Narrow" w:hAnsi="Arial Narrow"/>
          <w:sz w:val="20"/>
          <w:szCs w:val="20"/>
        </w:rPr>
        <w:t xml:space="preserve"> </w:t>
      </w:r>
      <w:r w:rsidR="00315215">
        <w:rPr>
          <w:rFonts w:ascii="Arial Narrow" w:hAnsi="Arial Narrow"/>
          <w:sz w:val="20"/>
          <w:szCs w:val="20"/>
        </w:rPr>
        <w:t xml:space="preserve">gwarancji oraz </w:t>
      </w:r>
      <w:r w:rsidRPr="00ED7C83">
        <w:rPr>
          <w:rFonts w:ascii="Arial Narrow" w:hAnsi="Arial Narrow"/>
          <w:sz w:val="20"/>
          <w:szCs w:val="20"/>
        </w:rPr>
        <w:t>wsparcia</w:t>
      </w:r>
      <w:r w:rsidR="00315215">
        <w:rPr>
          <w:rFonts w:ascii="Arial Narrow" w:hAnsi="Arial Narrow"/>
          <w:sz w:val="20"/>
          <w:szCs w:val="20"/>
        </w:rPr>
        <w:t xml:space="preserve"> i</w:t>
      </w:r>
      <w:r w:rsidRPr="00ED7C83">
        <w:rPr>
          <w:rFonts w:ascii="Arial Narrow" w:hAnsi="Arial Narrow"/>
          <w:sz w:val="20"/>
          <w:szCs w:val="20"/>
        </w:rPr>
        <w:t xml:space="preserve"> </w:t>
      </w:r>
      <w:r w:rsidR="00315215">
        <w:rPr>
          <w:rFonts w:ascii="Arial Narrow" w:hAnsi="Arial Narrow"/>
          <w:sz w:val="20"/>
          <w:szCs w:val="20"/>
        </w:rPr>
        <w:t xml:space="preserve">pomocy </w:t>
      </w:r>
      <w:r w:rsidRPr="00ED7C83">
        <w:rPr>
          <w:rFonts w:ascii="Arial Narrow" w:hAnsi="Arial Narrow"/>
          <w:sz w:val="20"/>
          <w:szCs w:val="20"/>
        </w:rPr>
        <w:t>tec</w:t>
      </w:r>
      <w:r w:rsidR="00315215">
        <w:rPr>
          <w:rFonts w:ascii="Arial Narrow" w:hAnsi="Arial Narrow"/>
          <w:sz w:val="20"/>
          <w:szCs w:val="20"/>
        </w:rPr>
        <w:t>hnicznej</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w:t>
      </w:r>
      <w:r w:rsidR="009D0FBD">
        <w:rPr>
          <w:rFonts w:ascii="Arial Narrow" w:hAnsi="Arial Narrow"/>
          <w:sz w:val="20"/>
          <w:szCs w:val="20"/>
        </w:rPr>
        <w:t xml:space="preserve">ruje </w:t>
      </w:r>
      <w:r w:rsidR="00315215">
        <w:rPr>
          <w:rFonts w:ascii="Arial Narrow" w:hAnsi="Arial Narrow"/>
          <w:sz w:val="20"/>
          <w:szCs w:val="20"/>
        </w:rPr>
        <w:t>dodatkowych funkcjonalności</w:t>
      </w:r>
      <w:r w:rsidRPr="00ED7C83">
        <w:rPr>
          <w:rFonts w:ascii="Arial Narrow" w:hAnsi="Arial Narrow"/>
          <w:sz w:val="20"/>
          <w:szCs w:val="20"/>
        </w:rPr>
        <w:t>):</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 xml:space="preserve">Oferujemy </w:t>
      </w:r>
      <w:r w:rsidR="00315215">
        <w:rPr>
          <w:rFonts w:ascii="Arial Narrow" w:hAnsi="Arial Narrow"/>
          <w:b/>
        </w:rPr>
        <w:t>dwie</w:t>
      </w:r>
      <w:r w:rsidR="00315215" w:rsidRPr="00315215">
        <w:rPr>
          <w:rFonts w:ascii="Arial Narrow" w:hAnsi="Arial Narrow"/>
          <w:b/>
        </w:rPr>
        <w:t xml:space="preserve"> </w:t>
      </w:r>
      <w:r w:rsidR="00315215">
        <w:rPr>
          <w:rFonts w:ascii="Arial Narrow" w:hAnsi="Arial Narrow"/>
          <w:b/>
        </w:rPr>
        <w:t>dodatkowe</w:t>
      </w:r>
      <w:r w:rsidR="00315215" w:rsidRPr="00315215">
        <w:rPr>
          <w:rFonts w:ascii="Arial Narrow" w:hAnsi="Arial Narrow"/>
          <w:b/>
        </w:rPr>
        <w:t xml:space="preserve"> funkcjonalności przedstawi</w:t>
      </w:r>
      <w:r w:rsidR="00315215">
        <w:rPr>
          <w:rFonts w:ascii="Arial Narrow" w:hAnsi="Arial Narrow"/>
          <w:b/>
        </w:rPr>
        <w:t>one</w:t>
      </w:r>
      <w:r w:rsidR="00315215" w:rsidRPr="00315215">
        <w:rPr>
          <w:rFonts w:ascii="Arial Narrow" w:hAnsi="Arial Narrow"/>
          <w:b/>
        </w:rPr>
        <w:t xml:space="preserve"> w opisie przedmiotu zamówienia</w:t>
      </w:r>
    </w:p>
    <w:p w:rsidR="00340FC2" w:rsidRDefault="00340FC2" w:rsidP="00340FC2">
      <w:pPr>
        <w:widowControl/>
        <w:ind w:left="720"/>
        <w:jc w:val="left"/>
        <w:rPr>
          <w:rFonts w:ascii="Arial Narrow" w:hAnsi="Arial Narrow"/>
          <w:b/>
        </w:rPr>
      </w:pPr>
    </w:p>
    <w:p w:rsidR="00315215" w:rsidRDefault="00315215" w:rsidP="00315215">
      <w:pPr>
        <w:widowControl/>
        <w:numPr>
          <w:ilvl w:val="0"/>
          <w:numId w:val="9"/>
        </w:numPr>
        <w:jc w:val="left"/>
        <w:rPr>
          <w:rFonts w:ascii="Arial Narrow" w:hAnsi="Arial Narrow"/>
          <w:b/>
        </w:rPr>
      </w:pPr>
      <w:r>
        <w:rPr>
          <w:rFonts w:ascii="Arial Narrow" w:hAnsi="Arial Narrow"/>
          <w:b/>
        </w:rPr>
        <w:t>Oferujemy jedną</w:t>
      </w:r>
      <w:r w:rsidRPr="00315215">
        <w:rPr>
          <w:rFonts w:ascii="Arial Narrow" w:hAnsi="Arial Narrow"/>
          <w:b/>
        </w:rPr>
        <w:t xml:space="preserve"> </w:t>
      </w:r>
      <w:r>
        <w:rPr>
          <w:rFonts w:ascii="Arial Narrow" w:hAnsi="Arial Narrow"/>
          <w:b/>
        </w:rPr>
        <w:t>dodatkową funkcjonalność</w:t>
      </w:r>
      <w:r w:rsidRPr="00315215">
        <w:rPr>
          <w:rFonts w:ascii="Arial Narrow" w:hAnsi="Arial Narrow"/>
          <w:b/>
        </w:rPr>
        <w:t xml:space="preserve"> przedstawi</w:t>
      </w:r>
      <w:r>
        <w:rPr>
          <w:rFonts w:ascii="Arial Narrow" w:hAnsi="Arial Narrow"/>
          <w:b/>
        </w:rPr>
        <w:t>oną</w:t>
      </w:r>
      <w:r w:rsidRPr="00315215">
        <w:rPr>
          <w:rFonts w:ascii="Arial Narrow" w:hAnsi="Arial Narrow"/>
          <w:b/>
        </w:rPr>
        <w:t xml:space="preserve"> w opisie przedmiotu zamówienia</w:t>
      </w:r>
    </w:p>
    <w:p w:rsidR="00315215" w:rsidRDefault="00315215" w:rsidP="00315215">
      <w:pPr>
        <w:widowControl/>
        <w:jc w:val="left"/>
        <w:rPr>
          <w:rFonts w:ascii="Arial Narrow" w:hAnsi="Arial Narrow"/>
          <w:b/>
        </w:rPr>
      </w:pPr>
    </w:p>
    <w:p w:rsidR="00315215" w:rsidRDefault="00315215" w:rsidP="00315215">
      <w:pPr>
        <w:widowControl/>
        <w:numPr>
          <w:ilvl w:val="0"/>
          <w:numId w:val="9"/>
        </w:numPr>
        <w:jc w:val="left"/>
        <w:rPr>
          <w:rFonts w:ascii="Arial Narrow" w:hAnsi="Arial Narrow"/>
          <w:b/>
        </w:rPr>
      </w:pPr>
      <w:r>
        <w:rPr>
          <w:rFonts w:ascii="Arial Narrow" w:hAnsi="Arial Narrow"/>
          <w:b/>
        </w:rPr>
        <w:t>Nie oferujemy dodatkowych funkcjonalności</w:t>
      </w:r>
    </w:p>
    <w:p w:rsidR="00ED7C83" w:rsidRDefault="00ED7C83" w:rsidP="00ED7C83">
      <w:pPr>
        <w:widowControl/>
        <w:spacing w:line="276" w:lineRule="auto"/>
        <w:ind w:left="720"/>
        <w:jc w:val="left"/>
        <w:rPr>
          <w:rFonts w:ascii="Arial Narrow" w:hAnsi="Arial Narrow"/>
          <w:b/>
        </w:rPr>
      </w:pPr>
    </w:p>
    <w:p w:rsidR="00ED7C83" w:rsidRPr="00340FC2" w:rsidRDefault="00ED7C83" w:rsidP="00ED7C83">
      <w:pPr>
        <w:widowControl/>
        <w:spacing w:line="276" w:lineRule="auto"/>
        <w:ind w:left="720"/>
        <w:jc w:val="left"/>
        <w:rPr>
          <w:rFonts w:ascii="Arial Narrow" w:hAnsi="Arial Narrow"/>
          <w:i/>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w:t>
      </w:r>
      <w:r w:rsidR="009D0FBD">
        <w:rPr>
          <w:rFonts w:ascii="Arial Narrow" w:hAnsi="Arial Narrow"/>
          <w:i/>
          <w:sz w:val="20"/>
          <w:szCs w:val="20"/>
        </w:rPr>
        <w:t xml:space="preserve">rmin nie może być dłuższy niż </w:t>
      </w:r>
      <w:r w:rsidR="00B7407C" w:rsidRPr="00B7407C">
        <w:rPr>
          <w:rFonts w:ascii="Arial Narrow" w:hAnsi="Arial Narrow"/>
          <w:i/>
          <w:sz w:val="20"/>
          <w:szCs w:val="20"/>
        </w:rPr>
        <w:t>30</w:t>
      </w:r>
      <w:r w:rsidR="009D0FBD">
        <w:rPr>
          <w:rFonts w:ascii="Arial Narrow" w:hAnsi="Arial Narrow"/>
          <w:i/>
          <w:sz w:val="20"/>
          <w:szCs w:val="20"/>
        </w:rPr>
        <w:t xml:space="preserve"> dni</w:t>
      </w:r>
      <w:r w:rsidR="00B7407C">
        <w:rPr>
          <w:rFonts w:ascii="Arial Narrow" w:hAnsi="Arial Narrow"/>
          <w:i/>
          <w:sz w:val="20"/>
          <w:szCs w:val="20"/>
        </w:rPr>
        <w:t xml:space="preserve"> roboczych</w:t>
      </w:r>
      <w:r w:rsidRPr="00ED7C83">
        <w:rPr>
          <w:rFonts w:ascii="Arial Narrow" w:hAnsi="Arial Narrow"/>
          <w:i/>
          <w:sz w:val="20"/>
          <w:szCs w:val="20"/>
        </w:rPr>
        <w:t>)</w:t>
      </w:r>
    </w:p>
    <w:p w:rsidR="000A0C4F" w:rsidRPr="00340FC2" w:rsidRDefault="000A0C4F"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lastRenderedPageBreak/>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9D0FBD" w:rsidRDefault="000A0C4F" w:rsidP="009D0FBD">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145642" w:rsidRPr="005741EF" w:rsidRDefault="00145642" w:rsidP="00145642">
      <w:pPr>
        <w:widowControl/>
        <w:numPr>
          <w:ilvl w:val="0"/>
          <w:numId w:val="4"/>
        </w:numPr>
        <w:autoSpaceDE w:val="0"/>
        <w:autoSpaceDN w:val="0"/>
        <w:adjustRightInd w:val="0"/>
        <w:rPr>
          <w:rFonts w:ascii="Arial Narrow" w:hAnsi="Arial Narrow" w:cs="Courier New"/>
          <w:sz w:val="22"/>
          <w:szCs w:val="22"/>
        </w:rPr>
      </w:pPr>
      <w:r>
        <w:rPr>
          <w:rFonts w:ascii="Arial Narrow" w:hAnsi="Arial Narrow" w:cs="Courier New"/>
          <w:sz w:val="22"/>
          <w:szCs w:val="22"/>
        </w:rPr>
        <w:t>odpis</w:t>
      </w:r>
      <w:r w:rsidRPr="00A8628A">
        <w:rPr>
          <w:rFonts w:ascii="Arial Narrow" w:hAnsi="Arial Narrow" w:cs="Courier New"/>
          <w:sz w:val="22"/>
          <w:szCs w:val="22"/>
        </w:rPr>
        <w:t xml:space="preserve"> z właściwego rejestru lub z centralnej ewidencji i informacji o działalności gospodarczej, </w:t>
      </w:r>
      <w:r w:rsidRPr="005741EF">
        <w:rPr>
          <w:rFonts w:ascii="Arial Narrow" w:hAnsi="Arial Narrow" w:cs="Courier New"/>
          <w:sz w:val="22"/>
          <w:szCs w:val="22"/>
        </w:rPr>
        <w:t xml:space="preserve">jeżeli odrębne przepisy wymagają wpisu do rejestru lub ewidencji, w celu potwierdzenia braku podstaw wykluczenia na podstawie art. 24 ust. 5 pkt 1 </w:t>
      </w:r>
      <w:proofErr w:type="spellStart"/>
      <w:r w:rsidRPr="005741EF">
        <w:rPr>
          <w:rFonts w:ascii="Arial Narrow" w:hAnsi="Arial Narrow" w:cs="Courier New"/>
          <w:sz w:val="22"/>
          <w:szCs w:val="22"/>
        </w:rPr>
        <w:t>Pzp</w:t>
      </w:r>
      <w:proofErr w:type="spellEnd"/>
      <w:r w:rsidRPr="005741EF">
        <w:rPr>
          <w:rFonts w:ascii="Arial Narrow" w:hAnsi="Arial Narrow" w:cs="Courier New"/>
          <w:sz w:val="22"/>
          <w:szCs w:val="22"/>
        </w:rPr>
        <w:t xml:space="preserve">. Z postępowania o udzielenie </w:t>
      </w:r>
      <w:r w:rsidRPr="005741EF">
        <w:rPr>
          <w:rFonts w:ascii="Arial Narrow" w:hAnsi="Arial Narrow" w:cs="Courier New"/>
          <w:i/>
          <w:iCs/>
          <w:sz w:val="22"/>
          <w:szCs w:val="22"/>
        </w:rPr>
        <w:t>zamówienia</w:t>
      </w:r>
      <w:r w:rsidRPr="005741EF">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15 maja 2015 r. - </w:t>
      </w:r>
      <w:r w:rsidRPr="005741EF">
        <w:rPr>
          <w:rFonts w:ascii="Arial Narrow" w:hAnsi="Arial Narrow" w:cs="Courier New"/>
          <w:i/>
          <w:iCs/>
          <w:sz w:val="22"/>
          <w:szCs w:val="22"/>
        </w:rPr>
        <w:t>Prawo</w:t>
      </w:r>
      <w:r>
        <w:rPr>
          <w:rFonts w:ascii="Arial Narrow" w:hAnsi="Arial Narrow" w:cs="Courier New"/>
          <w:sz w:val="22"/>
          <w:szCs w:val="22"/>
        </w:rPr>
        <w:t xml:space="preserve"> restrukturyzacyjne (Dz. U. 2020. 814</w:t>
      </w:r>
      <w:r w:rsidRPr="005741EF">
        <w:rPr>
          <w:rFonts w:ascii="Arial Narrow" w:hAnsi="Arial Narrow" w:cs="Courier New"/>
          <w:sz w:val="22"/>
          <w:szCs w:val="22"/>
        </w:rPr>
        <w:t xml:space="preserve"> tj.) lub którego upadłość ogłoszono, z wyjątkiem wykonawcy, który po ogłoszeniu upadłości zawarł układ zatwierdzony prawomocnym postanowieniem sądu, jeżeli układ nie przewiduje zaspokojenia </w:t>
      </w:r>
      <w:r w:rsidRPr="005741EF">
        <w:rPr>
          <w:rFonts w:ascii="Arial Narrow" w:hAnsi="Arial Narrow" w:cs="Courier New"/>
          <w:sz w:val="22"/>
          <w:szCs w:val="22"/>
        </w:rPr>
        <w:lastRenderedPageBreak/>
        <w:t xml:space="preserve">wierzycieli przez likwidację majątku upadłego, chyba że sąd zarządził likwidację jego majątku w trybie art. 366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28 lutego 2003 r. - </w:t>
      </w:r>
      <w:r w:rsidRPr="005741EF">
        <w:rPr>
          <w:rFonts w:ascii="Arial Narrow" w:hAnsi="Arial Narrow" w:cs="Courier New"/>
          <w:i/>
          <w:iCs/>
          <w:sz w:val="22"/>
          <w:szCs w:val="22"/>
        </w:rPr>
        <w:t>Prawo</w:t>
      </w:r>
      <w:r w:rsidRPr="005741EF">
        <w:rPr>
          <w:rFonts w:ascii="Arial Narrow" w:hAnsi="Arial Narrow" w:cs="Courier New"/>
          <w:sz w:val="22"/>
          <w:szCs w:val="22"/>
        </w:rPr>
        <w:t xml:space="preserve"> upadłościowe (Dz. U. z 2019 r. 498tj,);</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9D0FBD" w:rsidRPr="00340FC2" w:rsidRDefault="009D0FBD"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2A3676">
        <w:rPr>
          <w:rFonts w:ascii="Arial Narrow" w:hAnsi="Arial Narrow"/>
          <w:sz w:val="22"/>
          <w:szCs w:val="22"/>
        </w:rPr>
        <w:t xml:space="preserve"> 13,</w:t>
      </w:r>
      <w:bookmarkStart w:id="0" w:name="_GoBack"/>
      <w:bookmarkEnd w:id="0"/>
      <w:r w:rsidRPr="00340FC2">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w:t>
      </w:r>
      <w:r w:rsidRPr="00340FC2">
        <w:rPr>
          <w:rFonts w:ascii="Arial Narrow" w:hAnsi="Arial Narrow"/>
          <w:sz w:val="22"/>
          <w:szCs w:val="22"/>
        </w:rPr>
        <w:lastRenderedPageBreak/>
        <w:t>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EA" w:rsidRDefault="00304BEA">
      <w:r>
        <w:separator/>
      </w:r>
    </w:p>
  </w:endnote>
  <w:endnote w:type="continuationSeparator" w:id="0">
    <w:p w:rsidR="00304BEA" w:rsidRDefault="003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EA" w:rsidRDefault="00304BEA">
      <w:r>
        <w:separator/>
      </w:r>
    </w:p>
  </w:footnote>
  <w:footnote w:type="continuationSeparator" w:id="0">
    <w:p w:rsidR="00304BEA" w:rsidRDefault="00304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C5CEB"/>
    <w:rsid w:val="000D1A2B"/>
    <w:rsid w:val="000F1917"/>
    <w:rsid w:val="0011467D"/>
    <w:rsid w:val="00117718"/>
    <w:rsid w:val="0012539D"/>
    <w:rsid w:val="00145642"/>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A3676"/>
    <w:rsid w:val="002B3EB5"/>
    <w:rsid w:val="002D650A"/>
    <w:rsid w:val="002D730D"/>
    <w:rsid w:val="00304BEA"/>
    <w:rsid w:val="003068AB"/>
    <w:rsid w:val="00315215"/>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E5E60"/>
    <w:rsid w:val="003F0A8A"/>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50D16"/>
    <w:rsid w:val="00573F47"/>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B02A0"/>
    <w:rsid w:val="008B25CA"/>
    <w:rsid w:val="008B3D47"/>
    <w:rsid w:val="008C14A9"/>
    <w:rsid w:val="008D5532"/>
    <w:rsid w:val="008D59F8"/>
    <w:rsid w:val="008E2574"/>
    <w:rsid w:val="008E5BC2"/>
    <w:rsid w:val="008E703E"/>
    <w:rsid w:val="0090259B"/>
    <w:rsid w:val="009121EF"/>
    <w:rsid w:val="009233B5"/>
    <w:rsid w:val="00923D4F"/>
    <w:rsid w:val="00930D05"/>
    <w:rsid w:val="00932294"/>
    <w:rsid w:val="00933939"/>
    <w:rsid w:val="00937E16"/>
    <w:rsid w:val="00944E7F"/>
    <w:rsid w:val="00944F0F"/>
    <w:rsid w:val="00954841"/>
    <w:rsid w:val="00966801"/>
    <w:rsid w:val="009703F3"/>
    <w:rsid w:val="00973F2C"/>
    <w:rsid w:val="00981266"/>
    <w:rsid w:val="00994E0C"/>
    <w:rsid w:val="009A424A"/>
    <w:rsid w:val="009D0FBD"/>
    <w:rsid w:val="009F1395"/>
    <w:rsid w:val="009F7769"/>
    <w:rsid w:val="00A22ECB"/>
    <w:rsid w:val="00A416D8"/>
    <w:rsid w:val="00A53F38"/>
    <w:rsid w:val="00A561AA"/>
    <w:rsid w:val="00A62A7E"/>
    <w:rsid w:val="00A63D46"/>
    <w:rsid w:val="00A87158"/>
    <w:rsid w:val="00A95093"/>
    <w:rsid w:val="00AA44EA"/>
    <w:rsid w:val="00AA6C80"/>
    <w:rsid w:val="00AB0468"/>
    <w:rsid w:val="00AC61AD"/>
    <w:rsid w:val="00AD3893"/>
    <w:rsid w:val="00B154DB"/>
    <w:rsid w:val="00B17813"/>
    <w:rsid w:val="00B3062D"/>
    <w:rsid w:val="00B35DF3"/>
    <w:rsid w:val="00B45F94"/>
    <w:rsid w:val="00B63ADE"/>
    <w:rsid w:val="00B7407C"/>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6AB5"/>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6106D"/>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BC2F-A28D-48CC-8893-F893382A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2206</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10</cp:revision>
  <cp:lastPrinted>2019-02-26T09:33:00Z</cp:lastPrinted>
  <dcterms:created xsi:type="dcterms:W3CDTF">2020-05-11T07:01:00Z</dcterms:created>
  <dcterms:modified xsi:type="dcterms:W3CDTF">2020-07-17T08:15:00Z</dcterms:modified>
</cp:coreProperties>
</file>