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Default="00762F3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086DD0" w:rsidRPr="00086DD0">
        <w:rPr>
          <w:rFonts w:ascii="Arial Narrow" w:hAnsi="Arial Narrow"/>
          <w:b/>
          <w:sz w:val="24"/>
          <w:szCs w:val="24"/>
        </w:rPr>
        <w:t xml:space="preserve"> środowiska </w:t>
      </w:r>
      <w:proofErr w:type="spellStart"/>
      <w:r w:rsidR="00086DD0" w:rsidRPr="00086DD0">
        <w:rPr>
          <w:rFonts w:ascii="Arial Narrow" w:hAnsi="Arial Narrow"/>
          <w:b/>
          <w:sz w:val="24"/>
          <w:szCs w:val="24"/>
        </w:rPr>
        <w:t>hiperkonwergentnego</w:t>
      </w:r>
      <w:proofErr w:type="spellEnd"/>
      <w:r w:rsidR="00086DD0" w:rsidRPr="00086DD0">
        <w:rPr>
          <w:rFonts w:ascii="Arial Narrow" w:hAnsi="Arial Narrow"/>
          <w:b/>
          <w:sz w:val="24"/>
          <w:szCs w:val="24"/>
        </w:rPr>
        <w:t xml:space="preserve"> dla 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Laboratorium Sieci Teleinformatycznych i Technologii Internetu Rzeczy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86DD0" w:rsidRDefault="00086DD0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727F98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86DD0">
        <w:rPr>
          <w:rFonts w:ascii="Arial Narrow" w:hAnsi="Arial Narrow"/>
          <w:b/>
          <w:sz w:val="24"/>
          <w:szCs w:val="24"/>
        </w:rPr>
        <w:t xml:space="preserve">środowiska </w:t>
      </w:r>
      <w:proofErr w:type="spellStart"/>
      <w:r w:rsidRPr="00086DD0">
        <w:rPr>
          <w:rFonts w:ascii="Arial Narrow" w:hAnsi="Arial Narrow"/>
          <w:b/>
          <w:sz w:val="24"/>
          <w:szCs w:val="24"/>
        </w:rPr>
        <w:t>hiperkonwergentnego</w:t>
      </w:r>
      <w:proofErr w:type="spellEnd"/>
      <w:r w:rsidRPr="00086DD0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86DD0" w:rsidRPr="00086DD0" w:rsidRDefault="00086DD0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86DD0">
        <w:rPr>
          <w:rFonts w:ascii="Arial Narrow" w:hAnsi="Arial Narrow"/>
          <w:b/>
          <w:sz w:val="24"/>
          <w:szCs w:val="24"/>
        </w:rPr>
        <w:t>w skład którego wchodzą: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0"/>
        <w:gridCol w:w="2857"/>
        <w:gridCol w:w="2302"/>
        <w:gridCol w:w="1473"/>
        <w:gridCol w:w="1781"/>
        <w:gridCol w:w="1437"/>
      </w:tblGrid>
      <w:tr w:rsidR="00701CC2" w:rsidTr="00805C68">
        <w:trPr>
          <w:trHeight w:val="539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Nazwa zasobu</w:t>
            </w:r>
          </w:p>
        </w:tc>
        <w:tc>
          <w:tcPr>
            <w:tcW w:w="3413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>
              <w:rPr>
                <w:b/>
              </w:rPr>
              <w:t>Typ / model oferowanej aparatury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netto  (PLN)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brutto (PLN)</w:t>
            </w:r>
          </w:p>
        </w:tc>
      </w:tr>
      <w:tr w:rsidR="00701CC2" w:rsidTr="00805C68">
        <w:trPr>
          <w:trHeight w:val="60"/>
        </w:trPr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>Infrastruktura serwerowa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Klaster systemu wirtualizacji typu HCI (</w:t>
            </w:r>
            <w:proofErr w:type="spellStart"/>
            <w:r w:rsidRPr="00116EEC">
              <w:t>Hyperconverged</w:t>
            </w:r>
            <w:proofErr w:type="spellEnd"/>
            <w:r w:rsidRPr="00116EEC">
              <w:t xml:space="preserve"> </w:t>
            </w:r>
            <w:proofErr w:type="spellStart"/>
            <w:r w:rsidRPr="00116EEC">
              <w:t>Infrastructure</w:t>
            </w:r>
            <w:proofErr w:type="spellEnd"/>
            <w:r w:rsidRPr="00116EEC">
              <w:t>) wraz z ukompletowaniem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Dedykowany system zarządzania oraz przełączania LAN dla klastra systemu wirtualizacji typu HCI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Przełączniki dostępowe 10/25/40/100GE Ethernet – 2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systemu wirtualizacji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do zarządzania systemem wirtualizacji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60"/>
        </w:trPr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Serwer kopii zapasowych - 1 sztuka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do wykonywania kopii zapasowych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80"/>
        </w:trPr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>Komponenty LAN/WAN dedykowane do środowiska laboratoryjnego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Firewall</w:t>
            </w:r>
            <w:r>
              <w:t xml:space="preserve"> </w:t>
            </w:r>
            <w:r w:rsidRPr="00116EEC">
              <w:t>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Centralna konsola zarządzająca  kompatybilna z urządzeniami Firewall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Kontroler sieci bezprzewodowej – 2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Punkty dostępu bezprzewodowego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lastRenderedPageBreak/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Router wielousługowy  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Router IOT LTE 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 xml:space="preserve">Przełączniki </w:t>
            </w:r>
            <w:proofErr w:type="spellStart"/>
            <w:r w:rsidRPr="00116EEC">
              <w:t>Multigigabit</w:t>
            </w:r>
            <w:proofErr w:type="spellEnd"/>
            <w:r w:rsidRPr="00116EEC">
              <w:t xml:space="preserve">  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8.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System uwierzytelnienia dostępu do sieci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 xml:space="preserve">Pozostałe elementy infrastruktury (zasilanie, okablowanie, szafy </w:t>
            </w:r>
            <w:proofErr w:type="spellStart"/>
            <w:r w:rsidRPr="00ED0CBF">
              <w:rPr>
                <w:b/>
              </w:rPr>
              <w:t>rack</w:t>
            </w:r>
            <w:proofErr w:type="spellEnd"/>
            <w:r w:rsidRPr="00ED0CBF">
              <w:rPr>
                <w:b/>
              </w:rPr>
              <w:t xml:space="preserve"> oraz inne elementy)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UPS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Szafa teleinformatyczna RACK  – 5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 xml:space="preserve">PDU: 3 fazowa, 16A, 36  x Gniazdo C13,  3  x Gniazdo C19  – 8 </w:t>
            </w:r>
            <w:proofErr w:type="spellStart"/>
            <w:r w:rsidRPr="00116EEC">
              <w:t>szt</w:t>
            </w:r>
            <w:proofErr w:type="spellEnd"/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Kolumny elektroinstalacyjne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Okablowanie miedziane i światłowodowe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Pozostałe elementu infrastruktury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 xml:space="preserve">Stacje robocze – 4 </w:t>
            </w:r>
            <w:proofErr w:type="spellStart"/>
            <w:r w:rsidRPr="00116EEC">
              <w:t>szt</w:t>
            </w:r>
            <w:proofErr w:type="spellEnd"/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8.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 xml:space="preserve">Monitor – 8 </w:t>
            </w:r>
            <w:proofErr w:type="spellStart"/>
            <w:r w:rsidRPr="00116EEC">
              <w:t>szt</w:t>
            </w:r>
            <w:proofErr w:type="spellEnd"/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9.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 xml:space="preserve">Urządzenie do wykonywania płytek drukowanych PCB – 1 </w:t>
            </w:r>
            <w:proofErr w:type="spellStart"/>
            <w:r w:rsidRPr="00116EEC">
              <w:t>szt</w:t>
            </w:r>
            <w:proofErr w:type="spellEnd"/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154"/>
        </w:trPr>
        <w:tc>
          <w:tcPr>
            <w:tcW w:w="4499" w:type="dxa"/>
            <w:gridSpan w:val="2"/>
            <w:vAlign w:val="center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  <w:r w:rsidRPr="00F3591F">
              <w:rPr>
                <w:b/>
              </w:rPr>
              <w:t>RAZEM:</w:t>
            </w:r>
          </w:p>
        </w:tc>
        <w:tc>
          <w:tcPr>
            <w:tcW w:w="3413" w:type="dxa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1835" w:type="dxa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701CC2" w:rsidRPr="00F3591F" w:rsidRDefault="00701CC2" w:rsidP="00805C68">
            <w:pPr>
              <w:rPr>
                <w:b/>
              </w:rPr>
            </w:pPr>
          </w:p>
        </w:tc>
      </w:tr>
    </w:tbl>
    <w:p w:rsidR="00701CC2" w:rsidRPr="00E71E86" w:rsidRDefault="00701CC2" w:rsidP="00701CC2"/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762F32" w:rsidRPr="00EE4BFE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762F32" w:rsidRPr="00AA62A7" w:rsidRDefault="00762F32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</w:t>
      </w:r>
      <w:r w:rsidR="00086DD0">
        <w:rPr>
          <w:rFonts w:ascii="Arial Narrow" w:hAnsi="Arial Narrow"/>
          <w:sz w:val="24"/>
          <w:szCs w:val="24"/>
        </w:rPr>
        <w:t xml:space="preserve">roboczych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60 dni</w:t>
      </w:r>
      <w:r w:rsidR="00086DD0">
        <w:rPr>
          <w:rFonts w:ascii="Arial Narrow" w:hAnsi="Arial Narrow"/>
          <w:i/>
          <w:sz w:val="24"/>
          <w:szCs w:val="24"/>
        </w:rPr>
        <w:t xml:space="preserve"> roboczych</w:t>
      </w:r>
      <w:r w:rsidRPr="00A32452">
        <w:rPr>
          <w:rFonts w:ascii="Arial Narrow" w:hAnsi="Arial Narrow"/>
          <w:i/>
          <w:sz w:val="24"/>
          <w:szCs w:val="24"/>
        </w:rPr>
        <w:t>)</w:t>
      </w:r>
      <w:r w:rsidR="00AA62A7">
        <w:rPr>
          <w:rFonts w:ascii="Arial Narrow" w:hAnsi="Arial Narrow"/>
          <w:i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II/</w:t>
      </w:r>
    </w:p>
    <w:p w:rsidR="00762F32" w:rsidRPr="00BD338B" w:rsidRDefault="00762F32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762F32" w:rsidRDefault="00762F32" w:rsidP="00762F32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BD5925">
        <w:rPr>
          <w:rFonts w:ascii="Arial Narrow" w:hAnsi="Arial Narrow"/>
          <w:i/>
          <w:sz w:val="22"/>
          <w:szCs w:val="22"/>
        </w:rPr>
        <w:t>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2A42BB" w:rsidRDefault="00AA62A7" w:rsidP="00AA62A7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ramach udzielonej gwarancji zobowiązujemy się do świadczenia serwisu gwarancyjnego z czasem naprawy lub wymiany uszkodzonego urządzenia w terminie</w:t>
      </w:r>
      <w:r>
        <w:rPr>
          <w:rFonts w:ascii="Arial Narrow" w:hAnsi="Arial Narrow"/>
          <w:sz w:val="22"/>
          <w:szCs w:val="22"/>
        </w:rPr>
        <w:t xml:space="preserve"> </w:t>
      </w:r>
      <w:r w:rsidR="00762F32" w:rsidRPr="00AA62A7">
        <w:rPr>
          <w:rFonts w:ascii="Arial Narrow" w:hAnsi="Arial Narrow"/>
          <w:sz w:val="22"/>
          <w:szCs w:val="22"/>
        </w:rPr>
        <w:t>nie dłuższym niż</w:t>
      </w:r>
      <w:r w:rsidR="002A42BB">
        <w:rPr>
          <w:rFonts w:ascii="Arial Narrow" w:hAnsi="Arial Narrow"/>
          <w:sz w:val="22"/>
          <w:szCs w:val="22"/>
        </w:rPr>
        <w:t>:</w:t>
      </w:r>
    </w:p>
    <w:p w:rsidR="002A42BB" w:rsidRDefault="002A42BB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 w:rsidR="00762F32" w:rsidRPr="00AA62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21 </w:t>
      </w:r>
      <w:r w:rsidR="00762F32" w:rsidRPr="00AA62A7">
        <w:rPr>
          <w:rFonts w:ascii="Arial Narrow" w:hAnsi="Arial Narrow"/>
          <w:sz w:val="22"/>
          <w:szCs w:val="22"/>
        </w:rPr>
        <w:t>dni</w:t>
      </w:r>
      <w:r w:rsidR="00AA62A7">
        <w:rPr>
          <w:rFonts w:ascii="Arial Narrow" w:hAnsi="Arial Narrow"/>
          <w:sz w:val="22"/>
          <w:szCs w:val="22"/>
        </w:rPr>
        <w:t xml:space="preserve"> roboczych</w:t>
      </w:r>
      <w:r w:rsidR="00762F32" w:rsidRPr="00AA62A7">
        <w:rPr>
          <w:rFonts w:ascii="Arial Narrow" w:hAnsi="Arial Narrow"/>
          <w:sz w:val="22"/>
          <w:szCs w:val="22"/>
        </w:rPr>
        <w:t xml:space="preserve"> od </w:t>
      </w:r>
      <w:r w:rsidR="00AA62A7">
        <w:rPr>
          <w:rFonts w:ascii="Arial Narrow" w:hAnsi="Arial Narrow"/>
          <w:sz w:val="22"/>
          <w:szCs w:val="22"/>
        </w:rPr>
        <w:t>dnia zgłoszenia</w:t>
      </w:r>
      <w:r w:rsidR="00762F32" w:rsidRPr="00AA62A7">
        <w:rPr>
          <w:rFonts w:ascii="Arial Narrow" w:hAnsi="Arial Narrow"/>
          <w:sz w:val="22"/>
          <w:szCs w:val="22"/>
        </w:rPr>
        <w:t xml:space="preserve">  awarii </w:t>
      </w:r>
    </w:p>
    <w:p w:rsidR="002A42BB" w:rsidRDefault="002A42BB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do końca następnego dnia roboczego od dnia zgłoszenia</w:t>
      </w:r>
    </w:p>
    <w:p w:rsidR="00762F32" w:rsidRPr="00AA62A7" w:rsidRDefault="00AA62A7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A62A7">
        <w:rPr>
          <w:rFonts w:ascii="Arial Narrow" w:hAnsi="Arial Narrow"/>
          <w:b/>
          <w:sz w:val="22"/>
          <w:szCs w:val="22"/>
        </w:rPr>
        <w:t>/KRYTERIUM III/</w:t>
      </w:r>
    </w:p>
    <w:p w:rsidR="00762F32" w:rsidRDefault="00762F32" w:rsidP="00762F32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5F589D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5F589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5F589D" w:rsidP="005F589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oferujemy asystę techniczną do wykorzystania przez okres 36 miesięcy w wymiarze:</w:t>
      </w:r>
      <w:r w:rsidR="00762F32" w:rsidRPr="00476573">
        <w:rPr>
          <w:rFonts w:ascii="Arial Narrow" w:hAnsi="Arial Narrow"/>
          <w:b/>
          <w:sz w:val="24"/>
          <w:szCs w:val="24"/>
        </w:rPr>
        <w:t xml:space="preserve">…….……… </w:t>
      </w:r>
      <w:r>
        <w:rPr>
          <w:rFonts w:ascii="Arial Narrow" w:hAnsi="Arial Narrow"/>
          <w:sz w:val="24"/>
          <w:szCs w:val="24"/>
        </w:rPr>
        <w:t>godzin</w:t>
      </w:r>
      <w:r w:rsidR="00762F32" w:rsidRPr="00476573">
        <w:rPr>
          <w:rFonts w:ascii="Arial Narrow" w:hAnsi="Arial Narrow"/>
          <w:sz w:val="24"/>
          <w:szCs w:val="24"/>
        </w:rPr>
        <w:t xml:space="preserve"> </w:t>
      </w:r>
      <w:r w:rsidR="00762F32" w:rsidRPr="00476573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godzinach</w:t>
      </w:r>
      <w:r w:rsidR="00762F32" w:rsidRPr="00476573">
        <w:rPr>
          <w:rFonts w:ascii="Arial Narrow" w:hAnsi="Arial Narrow"/>
          <w:i/>
          <w:sz w:val="24"/>
          <w:szCs w:val="24"/>
        </w:rPr>
        <w:t>)</w:t>
      </w:r>
      <w:r w:rsidR="00762F32">
        <w:rPr>
          <w:rFonts w:ascii="Arial Narrow" w:hAnsi="Arial Narrow"/>
          <w:sz w:val="24"/>
          <w:szCs w:val="24"/>
        </w:rPr>
        <w:t>.</w:t>
      </w:r>
    </w:p>
    <w:p w:rsidR="005F589D" w:rsidRDefault="005F589D" w:rsidP="005F589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nie oferujemy asysty technicznej</w:t>
      </w:r>
    </w:p>
    <w:p w:rsidR="005F589D" w:rsidRPr="005F589D" w:rsidRDefault="005F589D" w:rsidP="005F589D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5F589D">
        <w:rPr>
          <w:rFonts w:ascii="Arial Narrow" w:hAnsi="Arial Narrow"/>
          <w:b/>
          <w:sz w:val="24"/>
          <w:szCs w:val="24"/>
        </w:rPr>
        <w:t>/KRYTERIUM III/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Pr="000860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762F32" w:rsidRPr="000860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762F32" w:rsidRPr="00690133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762F32" w:rsidRPr="006D6E07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Pr="00A14395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762F32" w:rsidRPr="00057687" w:rsidRDefault="00762F32" w:rsidP="00762F32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762F32" w:rsidRPr="00057687" w:rsidRDefault="00762F32" w:rsidP="00762F32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762F3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- nie zalega z opłacaniem podatków, opłat, składek na ubezpieczenie społeczne lub zdrowotne albo że zawarł porozumienie że zawarł porozumienie z właściwym organem w sprawie spłat tych należności wraz z ewentualnymi odsetkami lub </w:t>
      </w:r>
      <w:r w:rsidRPr="00057687">
        <w:rPr>
          <w:rFonts w:ascii="Arial Narrow" w:hAnsi="Arial Narrow"/>
          <w:sz w:val="22"/>
          <w:szCs w:val="22"/>
        </w:rPr>
        <w:lastRenderedPageBreak/>
        <w:t>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09389B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E2" w:rsidRDefault="00ED3A30">
      <w:r>
        <w:separator/>
      </w:r>
    </w:p>
  </w:endnote>
  <w:endnote w:type="continuationSeparator" w:id="0">
    <w:p w:rsidR="007556E2" w:rsidRDefault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762F3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869FC7" wp14:editId="24AC3FB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389B" w:rsidRPr="0009389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69FC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9389B" w:rsidRPr="0009389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F14BA62" wp14:editId="593F38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09389B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09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E2" w:rsidRDefault="00ED3A30">
      <w:r>
        <w:separator/>
      </w:r>
    </w:p>
  </w:footnote>
  <w:footnote w:type="continuationSeparator" w:id="0">
    <w:p w:rsidR="007556E2" w:rsidRDefault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09389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 wp14:anchorId="7ECEF1C6" wp14:editId="641E2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3386510" wp14:editId="558A105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CA1F1C9" wp14:editId="5BC5827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2BC06A" wp14:editId="0081758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09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297906"/>
    <w:rsid w:val="002A42BB"/>
    <w:rsid w:val="005F589D"/>
    <w:rsid w:val="006F59FB"/>
    <w:rsid w:val="00701CC2"/>
    <w:rsid w:val="007556E2"/>
    <w:rsid w:val="00762F32"/>
    <w:rsid w:val="00A70048"/>
    <w:rsid w:val="00AA62A7"/>
    <w:rsid w:val="00BD5925"/>
    <w:rsid w:val="00ED3A3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9070"/>
  <w15:chartTrackingRefBased/>
  <w15:docId w15:val="{0E6F0D87-19E6-4F2E-A787-F240D98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5</cp:revision>
  <cp:lastPrinted>2020-05-21T09:41:00Z</cp:lastPrinted>
  <dcterms:created xsi:type="dcterms:W3CDTF">2020-05-20T12:04:00Z</dcterms:created>
  <dcterms:modified xsi:type="dcterms:W3CDTF">2020-05-21T09:41:00Z</dcterms:modified>
</cp:coreProperties>
</file>